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83BC" w14:textId="77777777" w:rsidR="004005C6" w:rsidRPr="00CE2BC1" w:rsidRDefault="00CE2BC1" w:rsidP="00CE2BC1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3735E9F" wp14:editId="6C01BCD2">
            <wp:simplePos x="0" y="0"/>
            <wp:positionH relativeFrom="column">
              <wp:posOffset>-447675</wp:posOffset>
            </wp:positionH>
            <wp:positionV relativeFrom="paragraph">
              <wp:posOffset>-323850</wp:posOffset>
            </wp:positionV>
            <wp:extent cx="990600" cy="1095375"/>
            <wp:effectExtent l="19050" t="0" r="0" b="0"/>
            <wp:wrapTight wrapText="bothSides">
              <wp:wrapPolygon edited="0">
                <wp:start x="-415" y="0"/>
                <wp:lineTo x="-415" y="21412"/>
                <wp:lineTo x="21600" y="21412"/>
                <wp:lineTo x="21600" y="0"/>
                <wp:lineTo x="-415" y="0"/>
              </wp:wrapPolygon>
            </wp:wrapTight>
            <wp:docPr id="1" name="Picture 1" descr="C:\Users\Lori\Pictures\TNT LOGO LARG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Pictures\TNT LOGO LARGE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9B5B3EF" wp14:editId="6AC4A42D">
            <wp:simplePos x="0" y="0"/>
            <wp:positionH relativeFrom="column">
              <wp:posOffset>5238750</wp:posOffset>
            </wp:positionH>
            <wp:positionV relativeFrom="paragraph">
              <wp:posOffset>-323850</wp:posOffset>
            </wp:positionV>
            <wp:extent cx="981075" cy="1085850"/>
            <wp:effectExtent l="19050" t="0" r="9525" b="0"/>
            <wp:wrapTight wrapText="bothSides">
              <wp:wrapPolygon edited="0">
                <wp:start x="-419" y="0"/>
                <wp:lineTo x="-419" y="21221"/>
                <wp:lineTo x="21810" y="21221"/>
                <wp:lineTo x="21810" y="0"/>
                <wp:lineTo x="-419" y="0"/>
              </wp:wrapPolygon>
            </wp:wrapTight>
            <wp:docPr id="2" name="Picture 2" descr="C:\Users\Lori\Pictures\TNT LOGO LARG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\Pictures\TNT LOGO LARGE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BC1">
        <w:rPr>
          <w:b/>
          <w:sz w:val="32"/>
          <w:szCs w:val="32"/>
        </w:rPr>
        <w:t>TNT TORNADOS</w:t>
      </w:r>
    </w:p>
    <w:p w14:paraId="21B9B112" w14:textId="34F392A0" w:rsidR="00FF580F" w:rsidRDefault="00CE2BC1" w:rsidP="00CE2BC1">
      <w:pPr>
        <w:pStyle w:val="NoSpacing"/>
        <w:jc w:val="center"/>
        <w:rPr>
          <w:b/>
          <w:sz w:val="32"/>
          <w:szCs w:val="32"/>
        </w:rPr>
      </w:pPr>
      <w:r w:rsidRPr="00CE2BC1">
        <w:rPr>
          <w:b/>
          <w:sz w:val="32"/>
          <w:szCs w:val="32"/>
        </w:rPr>
        <w:t>20</w:t>
      </w:r>
      <w:r w:rsidR="001901C1">
        <w:rPr>
          <w:b/>
          <w:sz w:val="32"/>
          <w:szCs w:val="32"/>
        </w:rPr>
        <w:t>23</w:t>
      </w:r>
      <w:r w:rsidRPr="00CE2BC1">
        <w:rPr>
          <w:b/>
          <w:sz w:val="32"/>
          <w:szCs w:val="32"/>
        </w:rPr>
        <w:t>-</w:t>
      </w:r>
      <w:r w:rsidR="001901C1">
        <w:rPr>
          <w:b/>
          <w:sz w:val="32"/>
          <w:szCs w:val="32"/>
        </w:rPr>
        <w:t>24</w:t>
      </w:r>
      <w:r w:rsidR="00FF580F">
        <w:rPr>
          <w:b/>
          <w:sz w:val="32"/>
          <w:szCs w:val="32"/>
        </w:rPr>
        <w:t xml:space="preserve"> SPRING</w:t>
      </w:r>
      <w:r w:rsidRPr="00CE2BC1">
        <w:rPr>
          <w:b/>
          <w:sz w:val="32"/>
          <w:szCs w:val="32"/>
        </w:rPr>
        <w:t xml:space="preserve"> </w:t>
      </w:r>
      <w:r w:rsidR="001901C1">
        <w:rPr>
          <w:b/>
          <w:sz w:val="32"/>
          <w:szCs w:val="32"/>
        </w:rPr>
        <w:t>EVALUATIONS</w:t>
      </w:r>
      <w:r w:rsidRPr="00CE2BC1">
        <w:rPr>
          <w:b/>
          <w:sz w:val="32"/>
          <w:szCs w:val="32"/>
        </w:rPr>
        <w:t xml:space="preserve"> </w:t>
      </w:r>
    </w:p>
    <w:p w14:paraId="6BCAB6FC" w14:textId="77777777" w:rsidR="00CE2BC1" w:rsidRPr="00CE2BC1" w:rsidRDefault="00CE2BC1" w:rsidP="00CE2BC1">
      <w:pPr>
        <w:pStyle w:val="NoSpacing"/>
        <w:jc w:val="center"/>
        <w:rPr>
          <w:b/>
          <w:sz w:val="32"/>
          <w:szCs w:val="32"/>
        </w:rPr>
      </w:pPr>
      <w:r w:rsidRPr="00CE2BC1">
        <w:rPr>
          <w:b/>
          <w:sz w:val="32"/>
          <w:szCs w:val="32"/>
        </w:rPr>
        <w:t>REGISTRATION</w:t>
      </w:r>
      <w:r w:rsidR="00FF580F">
        <w:rPr>
          <w:b/>
          <w:sz w:val="32"/>
          <w:szCs w:val="32"/>
        </w:rPr>
        <w:t xml:space="preserve"> &amp; </w:t>
      </w:r>
      <w:r w:rsidRPr="00CE2BC1">
        <w:rPr>
          <w:b/>
          <w:sz w:val="32"/>
          <w:szCs w:val="32"/>
        </w:rPr>
        <w:t>GENERAL INFORMATION</w:t>
      </w:r>
    </w:p>
    <w:p w14:paraId="5ADACB45" w14:textId="77777777" w:rsidR="00CE2BC1" w:rsidRDefault="00CE2BC1" w:rsidP="00CE2BC1">
      <w:pPr>
        <w:pStyle w:val="NoSpacing"/>
        <w:jc w:val="center"/>
        <w:rPr>
          <w:sz w:val="32"/>
          <w:szCs w:val="32"/>
        </w:rPr>
      </w:pPr>
    </w:p>
    <w:p w14:paraId="16B4FB4C" w14:textId="77777777" w:rsidR="00CE2BC1" w:rsidRDefault="00CE2BC1" w:rsidP="00CE2BC1">
      <w:pPr>
        <w:pStyle w:val="NoSpacing"/>
        <w:rPr>
          <w:sz w:val="32"/>
          <w:szCs w:val="32"/>
        </w:rPr>
      </w:pPr>
    </w:p>
    <w:p w14:paraId="3819554C" w14:textId="78E26A93" w:rsidR="00CE2BC1" w:rsidRDefault="001901C1" w:rsidP="00CE2BC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EVALUATION</w:t>
      </w:r>
      <w:r w:rsidR="00CE2BC1">
        <w:rPr>
          <w:b/>
          <w:sz w:val="24"/>
          <w:szCs w:val="24"/>
          <w:u w:val="single"/>
        </w:rPr>
        <w:t xml:space="preserve"> REGISTRATION PROCESS:</w:t>
      </w:r>
    </w:p>
    <w:p w14:paraId="3EEA1169" w14:textId="7C857EE3" w:rsidR="00CE2BC1" w:rsidRPr="00FF580F" w:rsidRDefault="00CE2BC1" w:rsidP="00195DE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580F">
        <w:rPr>
          <w:sz w:val="24"/>
          <w:szCs w:val="24"/>
        </w:rPr>
        <w:t xml:space="preserve">All players who wish to attend spring </w:t>
      </w:r>
      <w:r w:rsidR="001901C1">
        <w:rPr>
          <w:sz w:val="24"/>
          <w:szCs w:val="24"/>
        </w:rPr>
        <w:t>evaluations</w:t>
      </w:r>
      <w:r w:rsidRPr="00FF580F">
        <w:rPr>
          <w:sz w:val="24"/>
          <w:szCs w:val="24"/>
        </w:rPr>
        <w:t xml:space="preserve"> for TNT</w:t>
      </w:r>
      <w:r w:rsidR="00FF580F">
        <w:rPr>
          <w:sz w:val="24"/>
          <w:szCs w:val="24"/>
        </w:rPr>
        <w:t>MHA (</w:t>
      </w:r>
      <w:r w:rsidR="001901C1">
        <w:rPr>
          <w:sz w:val="24"/>
          <w:szCs w:val="24"/>
        </w:rPr>
        <w:t>U10</w:t>
      </w:r>
      <w:r w:rsidRPr="00FF580F">
        <w:rPr>
          <w:sz w:val="24"/>
          <w:szCs w:val="24"/>
        </w:rPr>
        <w:t xml:space="preserve"> to </w:t>
      </w:r>
      <w:r w:rsidR="001901C1">
        <w:rPr>
          <w:sz w:val="24"/>
          <w:szCs w:val="24"/>
        </w:rPr>
        <w:t>U16</w:t>
      </w:r>
      <w:r w:rsidRPr="00FF580F">
        <w:rPr>
          <w:sz w:val="24"/>
          <w:szCs w:val="24"/>
        </w:rPr>
        <w:t xml:space="preserve">) must register on-line before they are allowed to attend </w:t>
      </w:r>
      <w:r w:rsidR="001901C1">
        <w:rPr>
          <w:sz w:val="24"/>
          <w:szCs w:val="24"/>
        </w:rPr>
        <w:t>evaluations</w:t>
      </w:r>
      <w:r w:rsidRPr="00FF580F">
        <w:rPr>
          <w:sz w:val="24"/>
          <w:szCs w:val="24"/>
        </w:rPr>
        <w:t xml:space="preserve">.  (NRPs, must register </w:t>
      </w:r>
      <w:proofErr w:type="gramStart"/>
      <w:r w:rsidR="001901C1">
        <w:rPr>
          <w:sz w:val="24"/>
          <w:szCs w:val="24"/>
        </w:rPr>
        <w:t>on line</w:t>
      </w:r>
      <w:proofErr w:type="gramEnd"/>
      <w:r w:rsidR="001901C1">
        <w:rPr>
          <w:sz w:val="24"/>
          <w:szCs w:val="24"/>
        </w:rPr>
        <w:t xml:space="preserve"> and bring their</w:t>
      </w:r>
      <w:r w:rsidRPr="00FF580F">
        <w:rPr>
          <w:sz w:val="24"/>
          <w:szCs w:val="24"/>
        </w:rPr>
        <w:t xml:space="preserve"> NRP Passports</w:t>
      </w:r>
      <w:r w:rsidR="001901C1">
        <w:rPr>
          <w:sz w:val="24"/>
          <w:szCs w:val="24"/>
        </w:rPr>
        <w:t xml:space="preserve"> to the first evaluation skate</w:t>
      </w:r>
      <w:r w:rsidRPr="00FF580F">
        <w:rPr>
          <w:sz w:val="24"/>
          <w:szCs w:val="24"/>
        </w:rPr>
        <w:t xml:space="preserve">).  The </w:t>
      </w:r>
      <w:r w:rsidR="001901C1">
        <w:rPr>
          <w:sz w:val="24"/>
          <w:szCs w:val="24"/>
        </w:rPr>
        <w:t>evaluation</w:t>
      </w:r>
      <w:r w:rsidRPr="00FF580F">
        <w:rPr>
          <w:sz w:val="24"/>
          <w:szCs w:val="24"/>
        </w:rPr>
        <w:t xml:space="preserve"> fee of $</w:t>
      </w:r>
      <w:r w:rsidR="001901C1">
        <w:rPr>
          <w:sz w:val="24"/>
          <w:szCs w:val="24"/>
        </w:rPr>
        <w:t>9</w:t>
      </w:r>
      <w:r w:rsidRPr="00FF580F">
        <w:rPr>
          <w:sz w:val="24"/>
          <w:szCs w:val="24"/>
        </w:rPr>
        <w:t>0 must be paid online, using a valid credit card</w:t>
      </w:r>
      <w:r w:rsidR="001901C1">
        <w:rPr>
          <w:sz w:val="24"/>
          <w:szCs w:val="24"/>
        </w:rPr>
        <w:t>, or e-transfer sent to erintnttreasurer@rogers.com</w:t>
      </w:r>
      <w:r w:rsidRPr="00FF580F">
        <w:rPr>
          <w:sz w:val="24"/>
          <w:szCs w:val="24"/>
        </w:rPr>
        <w:t xml:space="preserve">, at the time of registration.  NRPs will pay the fee by </w:t>
      </w:r>
      <w:r w:rsidR="001901C1">
        <w:rPr>
          <w:sz w:val="24"/>
          <w:szCs w:val="24"/>
        </w:rPr>
        <w:t>e-transfer only</w:t>
      </w:r>
      <w:r w:rsidRPr="00FF580F">
        <w:rPr>
          <w:sz w:val="24"/>
          <w:szCs w:val="24"/>
        </w:rPr>
        <w:t xml:space="preserve">.  Players must live within the OMHA approved boundaries for TNT in order to qualify to attend </w:t>
      </w:r>
      <w:r w:rsidR="001901C1">
        <w:rPr>
          <w:sz w:val="24"/>
          <w:szCs w:val="24"/>
        </w:rPr>
        <w:t>evaluations</w:t>
      </w:r>
      <w:r w:rsidRPr="00FF580F">
        <w:rPr>
          <w:sz w:val="24"/>
          <w:szCs w:val="24"/>
        </w:rPr>
        <w:t>.</w:t>
      </w:r>
      <w:r w:rsidR="00FF580F">
        <w:rPr>
          <w:sz w:val="24"/>
          <w:szCs w:val="24"/>
        </w:rPr>
        <w:t xml:space="preserve">  </w:t>
      </w:r>
      <w:r w:rsidR="001901C1">
        <w:rPr>
          <w:sz w:val="24"/>
          <w:szCs w:val="24"/>
        </w:rPr>
        <w:t>U18</w:t>
      </w:r>
      <w:r w:rsidRPr="00FF580F">
        <w:rPr>
          <w:sz w:val="24"/>
          <w:szCs w:val="24"/>
        </w:rPr>
        <w:t xml:space="preserve"> (</w:t>
      </w:r>
      <w:r w:rsidR="006D00AD" w:rsidRPr="00FF580F">
        <w:rPr>
          <w:sz w:val="24"/>
          <w:szCs w:val="24"/>
        </w:rPr>
        <w:t>200</w:t>
      </w:r>
      <w:r w:rsidR="001901C1">
        <w:rPr>
          <w:sz w:val="24"/>
          <w:szCs w:val="24"/>
        </w:rPr>
        <w:t>6</w:t>
      </w:r>
      <w:r w:rsidR="00FF580F">
        <w:rPr>
          <w:sz w:val="24"/>
          <w:szCs w:val="24"/>
        </w:rPr>
        <w:t>/200</w:t>
      </w:r>
      <w:r w:rsidR="001901C1">
        <w:rPr>
          <w:sz w:val="24"/>
          <w:szCs w:val="24"/>
        </w:rPr>
        <w:t>7</w:t>
      </w:r>
      <w:r w:rsidRPr="00FF580F">
        <w:rPr>
          <w:sz w:val="24"/>
          <w:szCs w:val="24"/>
        </w:rPr>
        <w:t xml:space="preserve">) </w:t>
      </w:r>
      <w:r w:rsidR="001901C1">
        <w:rPr>
          <w:sz w:val="24"/>
          <w:szCs w:val="24"/>
        </w:rPr>
        <w:t>evaluations</w:t>
      </w:r>
      <w:r w:rsidR="006D00AD" w:rsidRPr="00FF580F">
        <w:rPr>
          <w:sz w:val="24"/>
          <w:szCs w:val="24"/>
        </w:rPr>
        <w:t xml:space="preserve"> will take place in September;</w:t>
      </w:r>
      <w:r w:rsidRPr="00FF580F">
        <w:rPr>
          <w:sz w:val="24"/>
          <w:szCs w:val="24"/>
        </w:rPr>
        <w:t xml:space="preserve"> registration for those </w:t>
      </w:r>
      <w:r w:rsidR="001901C1">
        <w:rPr>
          <w:sz w:val="24"/>
          <w:szCs w:val="24"/>
        </w:rPr>
        <w:t>evaluations</w:t>
      </w:r>
      <w:r w:rsidRPr="00FF580F">
        <w:rPr>
          <w:sz w:val="24"/>
          <w:szCs w:val="24"/>
        </w:rPr>
        <w:t xml:space="preserve"> will be at that time.</w:t>
      </w:r>
    </w:p>
    <w:p w14:paraId="34AAC9F4" w14:textId="77777777" w:rsidR="009153F9" w:rsidRDefault="009153F9" w:rsidP="009153F9">
      <w:pPr>
        <w:pStyle w:val="NoSpacing"/>
        <w:rPr>
          <w:sz w:val="24"/>
          <w:szCs w:val="24"/>
        </w:rPr>
      </w:pPr>
    </w:p>
    <w:p w14:paraId="17126332" w14:textId="25D3E8E8" w:rsidR="00FF580F" w:rsidRDefault="009153F9" w:rsidP="009153F9">
      <w:pPr>
        <w:pStyle w:val="NoSpacing"/>
        <w:ind w:left="720"/>
      </w:pPr>
      <w:r>
        <w:rPr>
          <w:sz w:val="24"/>
          <w:szCs w:val="24"/>
        </w:rPr>
        <w:t xml:space="preserve">All players must attend the AA </w:t>
      </w:r>
      <w:r w:rsidR="001901C1">
        <w:rPr>
          <w:sz w:val="24"/>
          <w:szCs w:val="24"/>
        </w:rPr>
        <w:t>evaluations</w:t>
      </w:r>
      <w:r>
        <w:rPr>
          <w:sz w:val="24"/>
          <w:szCs w:val="24"/>
        </w:rPr>
        <w:t xml:space="preserve"> before attending the A </w:t>
      </w:r>
      <w:r w:rsidR="001901C1">
        <w:rPr>
          <w:sz w:val="24"/>
          <w:szCs w:val="24"/>
        </w:rPr>
        <w:t>evaluations</w:t>
      </w:r>
      <w:r>
        <w:rPr>
          <w:sz w:val="24"/>
          <w:szCs w:val="24"/>
        </w:rPr>
        <w:t xml:space="preserve">, unless they have written approval from Chris </w:t>
      </w:r>
      <w:proofErr w:type="spellStart"/>
      <w:r>
        <w:rPr>
          <w:sz w:val="24"/>
          <w:szCs w:val="24"/>
        </w:rPr>
        <w:t>Beausaert</w:t>
      </w:r>
      <w:proofErr w:type="spellEnd"/>
      <w:r>
        <w:rPr>
          <w:sz w:val="24"/>
          <w:szCs w:val="24"/>
        </w:rPr>
        <w:t xml:space="preserve">, VP </w:t>
      </w:r>
      <w:r w:rsidR="001901C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Rep Hockey.  Please contact Chris at </w:t>
      </w:r>
      <w:hyperlink r:id="rId6" w:history="1">
        <w:r w:rsidRPr="002A6C25">
          <w:rPr>
            <w:rStyle w:val="Hyperlink"/>
            <w:sz w:val="24"/>
            <w:szCs w:val="24"/>
          </w:rPr>
          <w:t>beausy@me.com</w:t>
        </w:r>
      </w:hyperlink>
      <w:r w:rsidR="00CE4EED">
        <w:t xml:space="preserve">  </w:t>
      </w:r>
    </w:p>
    <w:p w14:paraId="37742891" w14:textId="77777777" w:rsidR="00FF580F" w:rsidRDefault="00FF580F" w:rsidP="009153F9">
      <w:pPr>
        <w:pStyle w:val="NoSpacing"/>
        <w:ind w:left="720"/>
      </w:pPr>
    </w:p>
    <w:p w14:paraId="7E450D60" w14:textId="301409F1" w:rsidR="00FF580F" w:rsidRDefault="00FF580F" w:rsidP="009153F9">
      <w:pPr>
        <w:pStyle w:val="NoSpacing"/>
        <w:ind w:left="720"/>
      </w:pPr>
      <w:r>
        <w:t xml:space="preserve">If a player wishes to attend </w:t>
      </w:r>
      <w:r w:rsidR="001901C1">
        <w:t>evaluations</w:t>
      </w:r>
      <w:r>
        <w:t xml:space="preserve"> in a higher age category, they must contact Chris </w:t>
      </w:r>
      <w:proofErr w:type="spellStart"/>
      <w:r>
        <w:t>Beauseart</w:t>
      </w:r>
      <w:proofErr w:type="spellEnd"/>
      <w:r>
        <w:t xml:space="preserve"> (</w:t>
      </w:r>
      <w:hyperlink r:id="rId7" w:history="1">
        <w:r w:rsidRPr="00C41FAE">
          <w:rPr>
            <w:rStyle w:val="Hyperlink"/>
          </w:rPr>
          <w:t>beausy@me.com</w:t>
        </w:r>
      </w:hyperlink>
      <w:r>
        <w:t>) to request permission.  TNT Policy is that a player must be in the top 3 on the higher aged team to be considered for a spot on that team.</w:t>
      </w:r>
      <w:r w:rsidR="00CE4EED">
        <w:t xml:space="preserve"> </w:t>
      </w:r>
    </w:p>
    <w:p w14:paraId="3A1F1FC0" w14:textId="77777777" w:rsidR="00FF580F" w:rsidRDefault="00FF580F" w:rsidP="009153F9">
      <w:pPr>
        <w:pStyle w:val="NoSpacing"/>
        <w:ind w:left="720"/>
      </w:pPr>
    </w:p>
    <w:p w14:paraId="5711D699" w14:textId="453C4D7B" w:rsidR="009153F9" w:rsidRDefault="00CE4EED" w:rsidP="009153F9">
      <w:pPr>
        <w:pStyle w:val="NoSpacing"/>
        <w:ind w:left="720"/>
      </w:pPr>
      <w:r w:rsidRPr="00CE4EED">
        <w:rPr>
          <w:u w:val="single"/>
        </w:rPr>
        <w:t>The fee of $</w:t>
      </w:r>
      <w:r w:rsidR="001901C1">
        <w:rPr>
          <w:u w:val="single"/>
        </w:rPr>
        <w:t>9</w:t>
      </w:r>
      <w:r w:rsidRPr="00CE4EED">
        <w:rPr>
          <w:u w:val="single"/>
        </w:rPr>
        <w:t xml:space="preserve">0 covers BOTH the AA </w:t>
      </w:r>
      <w:r w:rsidR="001901C1">
        <w:rPr>
          <w:u w:val="single"/>
        </w:rPr>
        <w:t>evaluations</w:t>
      </w:r>
      <w:r w:rsidRPr="00CE4EED">
        <w:rPr>
          <w:u w:val="single"/>
        </w:rPr>
        <w:t xml:space="preserve"> and A </w:t>
      </w:r>
      <w:r w:rsidR="001901C1">
        <w:rPr>
          <w:u w:val="single"/>
        </w:rPr>
        <w:t>evaluations</w:t>
      </w:r>
      <w:r>
        <w:t>.</w:t>
      </w:r>
    </w:p>
    <w:p w14:paraId="494F801B" w14:textId="77777777" w:rsidR="009153F9" w:rsidRDefault="009153F9" w:rsidP="009153F9">
      <w:pPr>
        <w:pStyle w:val="NoSpacing"/>
        <w:rPr>
          <w:sz w:val="24"/>
          <w:szCs w:val="24"/>
        </w:rPr>
      </w:pPr>
    </w:p>
    <w:p w14:paraId="09F271F1" w14:textId="77777777" w:rsidR="00E53F9F" w:rsidRDefault="00E53F9F" w:rsidP="00E53F9F">
      <w:pPr>
        <w:pStyle w:val="NoSpacing"/>
        <w:rPr>
          <w:sz w:val="24"/>
          <w:szCs w:val="24"/>
        </w:rPr>
      </w:pPr>
    </w:p>
    <w:p w14:paraId="3509CDC5" w14:textId="77777777" w:rsidR="00E53F9F" w:rsidRDefault="00E53F9F" w:rsidP="00E53F9F">
      <w:pPr>
        <w:pStyle w:val="NoSpacing"/>
        <w:rPr>
          <w:sz w:val="24"/>
          <w:szCs w:val="24"/>
        </w:rPr>
      </w:pPr>
      <w:r w:rsidRPr="00E53F9F">
        <w:rPr>
          <w:rFonts w:ascii="Helvetica" w:hAnsi="Helvetica" w:cs="Helvetica"/>
          <w:b/>
          <w:color w:val="333333"/>
          <w:sz w:val="21"/>
          <w:szCs w:val="21"/>
        </w:rPr>
        <w:t>LINK TO REGIS</w:t>
      </w:r>
      <w:r>
        <w:rPr>
          <w:rFonts w:ascii="Helvetica" w:hAnsi="Helvetica" w:cs="Helvetica"/>
          <w:b/>
          <w:color w:val="333333"/>
          <w:sz w:val="21"/>
          <w:szCs w:val="21"/>
        </w:rPr>
        <w:t>T</w:t>
      </w:r>
      <w:r w:rsidRPr="00E53F9F">
        <w:rPr>
          <w:rFonts w:ascii="Helvetica" w:hAnsi="Helvetica" w:cs="Helvetica"/>
          <w:b/>
          <w:color w:val="333333"/>
          <w:sz w:val="21"/>
          <w:szCs w:val="21"/>
        </w:rPr>
        <w:t>ER</w:t>
      </w:r>
      <w:r>
        <w:rPr>
          <w:rFonts w:ascii="Helvetica" w:hAnsi="Helvetica" w:cs="Helvetica"/>
          <w:color w:val="333333"/>
          <w:sz w:val="21"/>
          <w:szCs w:val="21"/>
        </w:rPr>
        <w:t xml:space="preserve">:   </w:t>
      </w:r>
    </w:p>
    <w:p w14:paraId="5427C047" w14:textId="77777777" w:rsidR="00CE2BC1" w:rsidRDefault="00CE2BC1" w:rsidP="00CE2BC1">
      <w:pPr>
        <w:pStyle w:val="NoSpacing"/>
        <w:rPr>
          <w:sz w:val="24"/>
          <w:szCs w:val="24"/>
        </w:rPr>
      </w:pPr>
    </w:p>
    <w:p w14:paraId="14084919" w14:textId="6525D094" w:rsidR="00CE2BC1" w:rsidRDefault="00CE2BC1" w:rsidP="00CE2B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TNT MHA players will register online through Hockey Canada for the TNT </w:t>
      </w:r>
      <w:r w:rsidR="001901C1">
        <w:rPr>
          <w:sz w:val="24"/>
          <w:szCs w:val="24"/>
        </w:rPr>
        <w:t>evaluations</w:t>
      </w:r>
      <w:r>
        <w:rPr>
          <w:sz w:val="24"/>
          <w:szCs w:val="24"/>
        </w:rPr>
        <w:t xml:space="preserve"> (AA and A).  </w:t>
      </w:r>
      <w:r>
        <w:rPr>
          <w:b/>
          <w:sz w:val="24"/>
          <w:szCs w:val="24"/>
          <w:u w:val="single"/>
        </w:rPr>
        <w:t xml:space="preserve">The AA &amp; A </w:t>
      </w:r>
      <w:r w:rsidR="001901C1">
        <w:rPr>
          <w:b/>
          <w:sz w:val="24"/>
          <w:szCs w:val="24"/>
          <w:u w:val="single"/>
        </w:rPr>
        <w:t>evaluation</w:t>
      </w:r>
      <w:r>
        <w:rPr>
          <w:b/>
          <w:sz w:val="24"/>
          <w:szCs w:val="24"/>
          <w:u w:val="single"/>
        </w:rPr>
        <w:t xml:space="preserve"> online registration </w:t>
      </w:r>
      <w:r w:rsidR="001901C1">
        <w:rPr>
          <w:b/>
          <w:sz w:val="24"/>
          <w:szCs w:val="24"/>
          <w:u w:val="single"/>
        </w:rPr>
        <w:t>is no</w:t>
      </w:r>
      <w:r>
        <w:rPr>
          <w:b/>
          <w:sz w:val="24"/>
          <w:szCs w:val="24"/>
          <w:u w:val="single"/>
        </w:rPr>
        <w:t xml:space="preserve"> open and will close April 2</w:t>
      </w:r>
      <w:r w:rsidR="001901C1">
        <w:rPr>
          <w:b/>
          <w:sz w:val="24"/>
          <w:szCs w:val="24"/>
          <w:u w:val="single"/>
        </w:rPr>
        <w:t>8</w:t>
      </w:r>
      <w:r w:rsidR="006D00AD">
        <w:rPr>
          <w:b/>
          <w:sz w:val="24"/>
          <w:szCs w:val="24"/>
          <w:u w:val="single"/>
        </w:rPr>
        <w:t>/20</w:t>
      </w:r>
      <w:r w:rsidR="001901C1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at 11:59 pm.</w:t>
      </w:r>
      <w:r>
        <w:rPr>
          <w:sz w:val="24"/>
          <w:szCs w:val="24"/>
        </w:rPr>
        <w:t xml:space="preserve">  The Hockey Canada link </w:t>
      </w:r>
      <w:r w:rsidR="001901C1">
        <w:rPr>
          <w:sz w:val="24"/>
          <w:szCs w:val="24"/>
        </w:rPr>
        <w:t>is</w:t>
      </w:r>
      <w:r>
        <w:rPr>
          <w:sz w:val="24"/>
          <w:szCs w:val="24"/>
        </w:rPr>
        <w:t xml:space="preserve"> posted on the </w:t>
      </w:r>
      <w:r w:rsidR="001901C1">
        <w:rPr>
          <w:sz w:val="24"/>
          <w:szCs w:val="24"/>
        </w:rPr>
        <w:t>TNT website</w:t>
      </w:r>
      <w:r>
        <w:rPr>
          <w:sz w:val="24"/>
          <w:szCs w:val="24"/>
        </w:rPr>
        <w:t xml:space="preserve"> – please use your email and password used when you registered for hockey</w:t>
      </w:r>
      <w:r w:rsidR="00195DEB">
        <w:rPr>
          <w:sz w:val="24"/>
          <w:szCs w:val="24"/>
        </w:rPr>
        <w:t xml:space="preserve"> this season</w:t>
      </w:r>
      <w:r>
        <w:rPr>
          <w:sz w:val="24"/>
          <w:szCs w:val="24"/>
        </w:rPr>
        <w:t>.</w:t>
      </w:r>
    </w:p>
    <w:p w14:paraId="1CE90DBD" w14:textId="77777777" w:rsidR="00FF580F" w:rsidRDefault="00FF580F" w:rsidP="00FF580F">
      <w:pPr>
        <w:pStyle w:val="NoSpacing"/>
        <w:rPr>
          <w:sz w:val="24"/>
          <w:szCs w:val="24"/>
        </w:rPr>
      </w:pPr>
    </w:p>
    <w:p w14:paraId="079EEECB" w14:textId="003EE202" w:rsidR="00CE2BC1" w:rsidRDefault="00D90049" w:rsidP="001901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player wanting to registe</w:t>
      </w:r>
      <w:r w:rsidR="006D00AD">
        <w:rPr>
          <w:sz w:val="24"/>
          <w:szCs w:val="24"/>
        </w:rPr>
        <w:t xml:space="preserve">r for </w:t>
      </w:r>
      <w:r w:rsidR="001901C1">
        <w:rPr>
          <w:sz w:val="24"/>
          <w:szCs w:val="24"/>
        </w:rPr>
        <w:t>the evaluations</w:t>
      </w:r>
      <w:r w:rsidR="006D00AD">
        <w:rPr>
          <w:sz w:val="24"/>
          <w:szCs w:val="24"/>
        </w:rPr>
        <w:t xml:space="preserve"> after the April 2</w:t>
      </w:r>
      <w:r w:rsidR="001901C1">
        <w:rPr>
          <w:sz w:val="24"/>
          <w:szCs w:val="24"/>
        </w:rPr>
        <w:t>8</w:t>
      </w:r>
      <w:r>
        <w:rPr>
          <w:sz w:val="24"/>
          <w:szCs w:val="24"/>
        </w:rPr>
        <w:t xml:space="preserve"> deadline – must contact the TNT Office.  </w:t>
      </w:r>
      <w:hyperlink r:id="rId8" w:history="1">
        <w:r w:rsidR="001901C1" w:rsidRPr="00E771EF">
          <w:rPr>
            <w:rStyle w:val="Hyperlink"/>
            <w:sz w:val="24"/>
            <w:szCs w:val="24"/>
          </w:rPr>
          <w:t>erintnttreasurer@rogers.com</w:t>
        </w:r>
      </w:hyperlink>
      <w:r w:rsidR="001901C1">
        <w:rPr>
          <w:sz w:val="24"/>
          <w:szCs w:val="24"/>
        </w:rPr>
        <w:t xml:space="preserve"> </w:t>
      </w:r>
      <w:r>
        <w:rPr>
          <w:sz w:val="24"/>
          <w:szCs w:val="24"/>
        </w:rPr>
        <w:t>or 705-434-9301</w:t>
      </w:r>
    </w:p>
    <w:p w14:paraId="07710DB1" w14:textId="77777777" w:rsidR="001901C1" w:rsidRPr="001901C1" w:rsidRDefault="001901C1" w:rsidP="001901C1">
      <w:pPr>
        <w:pStyle w:val="NoSpacing"/>
        <w:rPr>
          <w:sz w:val="24"/>
          <w:szCs w:val="24"/>
        </w:rPr>
      </w:pPr>
    </w:p>
    <w:p w14:paraId="773B8569" w14:textId="1A6CF8E3" w:rsidR="00CE2BC1" w:rsidRDefault="00CE2BC1" w:rsidP="00CE2B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Non-Resident Players (NRPs): please register </w:t>
      </w:r>
      <w:r w:rsidR="001901C1">
        <w:rPr>
          <w:sz w:val="24"/>
          <w:szCs w:val="24"/>
        </w:rPr>
        <w:t xml:space="preserve">for the evaluations on the TNT website and </w:t>
      </w:r>
      <w:r>
        <w:rPr>
          <w:sz w:val="24"/>
          <w:szCs w:val="24"/>
        </w:rPr>
        <w:t xml:space="preserve">pay for the </w:t>
      </w:r>
      <w:r w:rsidR="001901C1">
        <w:rPr>
          <w:sz w:val="24"/>
          <w:szCs w:val="24"/>
        </w:rPr>
        <w:t>evaluations</w:t>
      </w:r>
      <w:r>
        <w:rPr>
          <w:sz w:val="24"/>
          <w:szCs w:val="24"/>
        </w:rPr>
        <w:t xml:space="preserve"> ($</w:t>
      </w:r>
      <w:r w:rsidR="001901C1">
        <w:rPr>
          <w:sz w:val="24"/>
          <w:szCs w:val="24"/>
        </w:rPr>
        <w:t>9</w:t>
      </w:r>
      <w:r>
        <w:rPr>
          <w:sz w:val="24"/>
          <w:szCs w:val="24"/>
        </w:rPr>
        <w:t xml:space="preserve">0 </w:t>
      </w:r>
      <w:r w:rsidR="001901C1">
        <w:rPr>
          <w:sz w:val="24"/>
          <w:szCs w:val="24"/>
        </w:rPr>
        <w:t>e-transfer</w:t>
      </w:r>
      <w:r>
        <w:rPr>
          <w:sz w:val="24"/>
          <w:szCs w:val="24"/>
        </w:rPr>
        <w:t xml:space="preserve">) and bring your NRP Passport </w:t>
      </w:r>
      <w:r w:rsidR="00FF580F">
        <w:rPr>
          <w:sz w:val="24"/>
          <w:szCs w:val="24"/>
        </w:rPr>
        <w:t>th</w:t>
      </w:r>
      <w:r>
        <w:rPr>
          <w:sz w:val="24"/>
          <w:szCs w:val="24"/>
        </w:rPr>
        <w:t xml:space="preserve">at you acquired from your home centre.  You are permitted to attend our </w:t>
      </w:r>
      <w:r w:rsidR="001901C1">
        <w:rPr>
          <w:sz w:val="24"/>
          <w:szCs w:val="24"/>
        </w:rPr>
        <w:t>evaluations</w:t>
      </w:r>
      <w:r>
        <w:rPr>
          <w:sz w:val="24"/>
          <w:szCs w:val="24"/>
        </w:rPr>
        <w:t xml:space="preserve"> for </w:t>
      </w:r>
      <w:r w:rsidR="001901C1">
        <w:rPr>
          <w:sz w:val="24"/>
          <w:szCs w:val="24"/>
        </w:rPr>
        <w:t>U12</w:t>
      </w:r>
      <w:r>
        <w:rPr>
          <w:sz w:val="24"/>
          <w:szCs w:val="24"/>
        </w:rPr>
        <w:t xml:space="preserve"> AA to </w:t>
      </w:r>
      <w:r w:rsidR="001901C1">
        <w:rPr>
          <w:sz w:val="24"/>
          <w:szCs w:val="24"/>
        </w:rPr>
        <w:t>U18</w:t>
      </w:r>
      <w:r>
        <w:rPr>
          <w:sz w:val="24"/>
          <w:szCs w:val="24"/>
        </w:rPr>
        <w:t xml:space="preserve"> AA.</w:t>
      </w:r>
      <w:r w:rsidR="00D90049">
        <w:rPr>
          <w:sz w:val="24"/>
          <w:szCs w:val="24"/>
        </w:rPr>
        <w:t xml:space="preserve">  (</w:t>
      </w:r>
      <w:r w:rsidR="001901C1">
        <w:rPr>
          <w:sz w:val="24"/>
          <w:szCs w:val="24"/>
        </w:rPr>
        <w:t>U18</w:t>
      </w:r>
      <w:r w:rsidR="00D90049">
        <w:rPr>
          <w:sz w:val="24"/>
          <w:szCs w:val="24"/>
        </w:rPr>
        <w:t xml:space="preserve"> AA </w:t>
      </w:r>
      <w:r w:rsidR="001901C1">
        <w:rPr>
          <w:sz w:val="24"/>
          <w:szCs w:val="24"/>
        </w:rPr>
        <w:t>evaluations</w:t>
      </w:r>
      <w:r w:rsidR="00D90049">
        <w:rPr>
          <w:sz w:val="24"/>
          <w:szCs w:val="24"/>
        </w:rPr>
        <w:t xml:space="preserve"> are in </w:t>
      </w:r>
      <w:r w:rsidR="006D00AD">
        <w:rPr>
          <w:sz w:val="24"/>
          <w:szCs w:val="24"/>
        </w:rPr>
        <w:t>the fall</w:t>
      </w:r>
      <w:r w:rsidR="00D90049">
        <w:rPr>
          <w:sz w:val="24"/>
          <w:szCs w:val="24"/>
        </w:rPr>
        <w:t xml:space="preserve">).  Registration for </w:t>
      </w:r>
      <w:r w:rsidR="001901C1">
        <w:rPr>
          <w:sz w:val="24"/>
          <w:szCs w:val="24"/>
        </w:rPr>
        <w:t>evaluations</w:t>
      </w:r>
      <w:r w:rsidR="00D90049">
        <w:rPr>
          <w:sz w:val="24"/>
          <w:szCs w:val="24"/>
        </w:rPr>
        <w:t xml:space="preserve"> can be done from </w:t>
      </w:r>
      <w:r w:rsidR="001901C1">
        <w:rPr>
          <w:sz w:val="24"/>
          <w:szCs w:val="24"/>
        </w:rPr>
        <w:t>March 20</w:t>
      </w:r>
      <w:r w:rsidR="00D90049">
        <w:rPr>
          <w:sz w:val="24"/>
          <w:szCs w:val="24"/>
        </w:rPr>
        <w:t xml:space="preserve"> to April 2</w:t>
      </w:r>
      <w:r w:rsidR="001901C1">
        <w:rPr>
          <w:sz w:val="24"/>
          <w:szCs w:val="24"/>
        </w:rPr>
        <w:t>8</w:t>
      </w:r>
      <w:r w:rsidR="00D90049">
        <w:rPr>
          <w:sz w:val="24"/>
          <w:szCs w:val="24"/>
        </w:rPr>
        <w:t>.</w:t>
      </w:r>
    </w:p>
    <w:p w14:paraId="4179F8AB" w14:textId="77777777" w:rsidR="00D90049" w:rsidRDefault="00D90049" w:rsidP="00D90049">
      <w:pPr>
        <w:pStyle w:val="ListParagraph"/>
        <w:rPr>
          <w:sz w:val="24"/>
          <w:szCs w:val="24"/>
        </w:rPr>
      </w:pPr>
    </w:p>
    <w:p w14:paraId="7F4584C5" w14:textId="492E4FBF" w:rsidR="00D90049" w:rsidRDefault="00D90049" w:rsidP="00CE2B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are a new player to TNT, and have played in another centre, please contact the TNT Office for registration instructions: </w:t>
      </w:r>
      <w:hyperlink r:id="rId9" w:history="1">
        <w:r w:rsidR="001901C1" w:rsidRPr="00E771EF">
          <w:rPr>
            <w:rStyle w:val="Hyperlink"/>
          </w:rPr>
          <w:t>erintnttreasurer@rogers.com</w:t>
        </w:r>
      </w:hyperlink>
      <w:r w:rsidR="001901C1">
        <w:t xml:space="preserve"> </w:t>
      </w:r>
      <w:r>
        <w:rPr>
          <w:sz w:val="24"/>
          <w:szCs w:val="24"/>
        </w:rPr>
        <w:t>or 705-434-9301</w:t>
      </w:r>
    </w:p>
    <w:p w14:paraId="290372CD" w14:textId="77777777" w:rsidR="00D90049" w:rsidRDefault="00D90049" w:rsidP="00D90049">
      <w:pPr>
        <w:pStyle w:val="ListParagraph"/>
        <w:rPr>
          <w:sz w:val="24"/>
          <w:szCs w:val="24"/>
        </w:rPr>
      </w:pPr>
    </w:p>
    <w:p w14:paraId="1D933560" w14:textId="51748F11" w:rsidR="00FF580F" w:rsidRPr="001901C1" w:rsidRDefault="00D90049" w:rsidP="001901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Registration will open later in June 20</w:t>
      </w:r>
      <w:r w:rsidR="001901C1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sectPr w:rsidR="00FF580F" w:rsidRPr="001901C1" w:rsidSect="0040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A7904"/>
    <w:multiLevelType w:val="hybridMultilevel"/>
    <w:tmpl w:val="277E8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5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C1"/>
    <w:rsid w:val="000A5625"/>
    <w:rsid w:val="001901C1"/>
    <w:rsid w:val="00195DEB"/>
    <w:rsid w:val="00226D35"/>
    <w:rsid w:val="004005C6"/>
    <w:rsid w:val="006D00AD"/>
    <w:rsid w:val="008F2842"/>
    <w:rsid w:val="009153F9"/>
    <w:rsid w:val="00AC249C"/>
    <w:rsid w:val="00B16C65"/>
    <w:rsid w:val="00CC3B0F"/>
    <w:rsid w:val="00CE2BC1"/>
    <w:rsid w:val="00CE4EED"/>
    <w:rsid w:val="00D44B00"/>
    <w:rsid w:val="00D63C69"/>
    <w:rsid w:val="00D90049"/>
    <w:rsid w:val="00E53F9F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1908"/>
  <w15:docId w15:val="{FD6B4A73-117F-41A3-980A-3A409EF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tnttreasurer@ro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usy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usy@m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ntnttreasurer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Wadge</dc:creator>
  <cp:lastModifiedBy>TNT Webadmin</cp:lastModifiedBy>
  <cp:revision>2</cp:revision>
  <dcterms:created xsi:type="dcterms:W3CDTF">2023-03-20T03:11:00Z</dcterms:created>
  <dcterms:modified xsi:type="dcterms:W3CDTF">2023-03-20T03:11:00Z</dcterms:modified>
</cp:coreProperties>
</file>